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 xml:space="preserve">prof. dr hab. Stanisław </w:t>
            </w:r>
            <w:proofErr w:type="spellStart"/>
            <w:r w:rsidRPr="00914F3A">
              <w:rPr>
                <w:rFonts w:cstheme="minorHAnsi"/>
                <w:b/>
              </w:rPr>
              <w:t>Mocek</w:t>
            </w:r>
            <w:proofErr w:type="spellEnd"/>
            <w:r w:rsidRPr="00914F3A">
              <w:rPr>
                <w:rFonts w:cstheme="minorHAnsi"/>
                <w:b/>
              </w:rPr>
              <w:t>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FA5E" w14:textId="77777777" w:rsidR="006777F1" w:rsidRDefault="006777F1" w:rsidP="00A356AA">
      <w:r>
        <w:separator/>
      </w:r>
    </w:p>
  </w:endnote>
  <w:endnote w:type="continuationSeparator" w:id="0">
    <w:p w14:paraId="59E30849" w14:textId="77777777" w:rsidR="006777F1" w:rsidRDefault="006777F1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D801" w14:textId="77777777" w:rsidR="006777F1" w:rsidRDefault="006777F1" w:rsidP="00A356AA">
      <w:r>
        <w:separator/>
      </w:r>
    </w:p>
  </w:footnote>
  <w:footnote w:type="continuationSeparator" w:id="0">
    <w:p w14:paraId="7191B0F0" w14:textId="77777777" w:rsidR="006777F1" w:rsidRDefault="006777F1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65B5F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D17965"/>
    <w:rsid w:val="00D241E6"/>
    <w:rsid w:val="00D41B4A"/>
    <w:rsid w:val="00D427D6"/>
    <w:rsid w:val="00D431D7"/>
    <w:rsid w:val="00D56EA3"/>
    <w:rsid w:val="00D60185"/>
    <w:rsid w:val="00D945AB"/>
    <w:rsid w:val="00D9553B"/>
    <w:rsid w:val="00DF39AB"/>
    <w:rsid w:val="00E12FEF"/>
    <w:rsid w:val="00E268FB"/>
    <w:rsid w:val="00E3331B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Props1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7DFC7-0134-46DA-A200-DCA30EEBDCC8}"/>
</file>

<file path=customXml/itemProps3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bf165-5df3-46a1-b5d9-34f6fabdd1e7"/>
    <ds:schemaRef ds:uri="0700ca80-6478-49d1-88e0-ef405fcfe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7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4</cp:revision>
  <cp:lastPrinted>2020-08-06T11:56:00Z</cp:lastPrinted>
  <dcterms:created xsi:type="dcterms:W3CDTF">2025-11-04T09:28:00Z</dcterms:created>
  <dcterms:modified xsi:type="dcterms:W3CDTF">2025-11-11T20:32:00Z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19323dca-ac75-4f6b-85ae-0cdf3976d570</vt:lpwstr>
  </property>
  <property fmtid="{D5CDD505-2E9C-101B-9397-08002B2CF9AE}" pid="12" name="xd_Signature">
    <vt:bool>false</vt:bool>
  </property>
</Properties>
</file>